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4DC2F" w14:textId="4B619B3E" w:rsidR="006D54A3" w:rsidRDefault="00AF40ED" w:rsidP="00DC6C8F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/>
          <w:b/>
          <w:color w:val="auto"/>
          <w:sz w:val="20"/>
          <w:szCs w:val="20"/>
        </w:rPr>
        <w:t>FEUTRES À LAMELLES</w:t>
      </w:r>
    </w:p>
    <w:p w14:paraId="05B8C7E8" w14:textId="6E85A33C" w:rsidR="00B93A6E" w:rsidRPr="00B93A6E" w:rsidRDefault="00B93A6E" w:rsidP="00DC6C8F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/>
          <w:b/>
          <w:color w:val="auto"/>
          <w:sz w:val="20"/>
          <w:szCs w:val="20"/>
        </w:rPr>
        <w:t>KNAUF INSULATION THERMO-TEK LM ECO ALU</w:t>
      </w:r>
    </w:p>
    <w:p w14:paraId="1CD9CCA6" w14:textId="77777777" w:rsidR="003276BC" w:rsidRPr="00B93A6E" w:rsidRDefault="003276BC" w:rsidP="00DC6C8F">
      <w:pPr>
        <w:jc w:val="both"/>
        <w:rPr>
          <w:rFonts w:ascii="Arial" w:hAnsi="Arial" w:cs="Arial"/>
          <w:lang w:val="en-GB"/>
        </w:rPr>
      </w:pPr>
    </w:p>
    <w:p w14:paraId="6A8CCD13" w14:textId="77777777" w:rsidR="00B93A6E" w:rsidRPr="00B93A6E" w:rsidRDefault="00B93A6E" w:rsidP="00DC6C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Type d’isolation :</w:t>
      </w:r>
    </w:p>
    <w:p w14:paraId="1491FAC3" w14:textId="0ED10A67" w:rsidR="00D232AE" w:rsidRDefault="00447498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Feutre en laine minérale à lamelles permettant d’isoler les tuyaux, coudes et pièces en T, vannes et raccords, conduits d’aération.</w:t>
      </w:r>
    </w:p>
    <w:p w14:paraId="1FA769CA" w14:textId="11403500" w:rsidR="00B93A6E" w:rsidRPr="00446313" w:rsidRDefault="00B93A6E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Feutre à lamelles certifié et marqué CE selon la norme EN 14303.</w:t>
      </w:r>
    </w:p>
    <w:p w14:paraId="74923A41" w14:textId="77777777" w:rsidR="00B93A6E" w:rsidRPr="005726D9" w:rsidRDefault="00B93A6E" w:rsidP="00DC6C8F">
      <w:pPr>
        <w:pStyle w:val="Default"/>
        <w:jc w:val="both"/>
        <w:rPr>
          <w:rFonts w:ascii="Arial" w:hAnsi="Arial" w:cs="Arial"/>
          <w:color w:val="auto"/>
          <w:sz w:val="12"/>
          <w:szCs w:val="12"/>
          <w:lang w:val="es-ES"/>
        </w:rPr>
      </w:pPr>
    </w:p>
    <w:p w14:paraId="28D1C195" w14:textId="77777777" w:rsidR="00B93A6E" w:rsidRPr="00B93A6E" w:rsidRDefault="00B93A6E" w:rsidP="00DC6C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Revêtement :</w:t>
      </w:r>
    </w:p>
    <w:p w14:paraId="11FC2F3F" w14:textId="4F220AB2" w:rsidR="00B93A6E" w:rsidRPr="00B93A6E" w:rsidRDefault="00447498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Feutre à lamelles recouvert d’un film en aluminium renforcé de fibre de verre sur une face.</w:t>
      </w:r>
    </w:p>
    <w:p w14:paraId="12AD4D9F" w14:textId="77777777" w:rsidR="00B93A6E" w:rsidRPr="005726D9" w:rsidRDefault="00B93A6E" w:rsidP="00DC6C8F">
      <w:pPr>
        <w:pStyle w:val="Default"/>
        <w:jc w:val="both"/>
        <w:rPr>
          <w:rFonts w:ascii="Arial" w:hAnsi="Arial" w:cs="Arial"/>
          <w:color w:val="auto"/>
          <w:sz w:val="12"/>
          <w:szCs w:val="12"/>
          <w:lang w:val="es-ES"/>
        </w:rPr>
      </w:pPr>
    </w:p>
    <w:p w14:paraId="1D87760D" w14:textId="77777777" w:rsidR="00B93A6E" w:rsidRPr="00B93A6E" w:rsidRDefault="00B93A6E" w:rsidP="00DC6C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Description :</w:t>
      </w:r>
    </w:p>
    <w:p w14:paraId="3621E8B6" w14:textId="48A74CC6" w:rsidR="006812B3" w:rsidRDefault="00882E60" w:rsidP="00994178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 xml:space="preserve">Feutre à lamelles en laine minérale recouvert d’un film en aluminium renforcé de fibre de verre résistant à la déchirure, collé sur un côté des bandes en laine minérale (lamelles). Lamelles en laine minérale perpendiculaires à la surface de contact afin d’offrir une bonne résistance à la compression tout en restant souples. Feutre à lamelles en laine minérale incluant un liant majoritairement issu de matériaux d’origine naturelle (tel que le liant Ecose </w:t>
      </w:r>
      <w:proofErr w:type="spellStart"/>
      <w:r>
        <w:rPr>
          <w:rFonts w:ascii="Arial" w:hAnsi="Arial"/>
          <w:color w:val="auto"/>
          <w:sz w:val="20"/>
          <w:szCs w:val="20"/>
        </w:rPr>
        <w:t>Technology</w:t>
      </w:r>
      <w:proofErr w:type="spellEnd"/>
      <w:r>
        <w:rPr>
          <w:rFonts w:ascii="Arial" w:hAnsi="Arial"/>
          <w:color w:val="auto"/>
          <w:sz w:val="20"/>
          <w:szCs w:val="20"/>
        </w:rPr>
        <w:t xml:space="preserve"> sans formaldéhyde ajouté) et certifié conforme aux normes de qualité Eurofins Gold Indoor Air </w:t>
      </w:r>
      <w:proofErr w:type="spellStart"/>
      <w:r>
        <w:rPr>
          <w:rFonts w:ascii="Arial" w:hAnsi="Arial"/>
          <w:color w:val="auto"/>
          <w:sz w:val="20"/>
          <w:szCs w:val="20"/>
        </w:rPr>
        <w:t>Comfort</w:t>
      </w:r>
      <w:proofErr w:type="spellEnd"/>
      <w:r>
        <w:rPr>
          <w:rFonts w:ascii="Arial" w:hAnsi="Arial"/>
          <w:color w:val="auto"/>
          <w:sz w:val="20"/>
          <w:szCs w:val="20"/>
        </w:rPr>
        <w:t xml:space="preserve"> ou équivalent.</w:t>
      </w:r>
    </w:p>
    <w:p w14:paraId="55393579" w14:textId="77777777" w:rsidR="00994178" w:rsidRPr="005726D9" w:rsidRDefault="00994178" w:rsidP="00994178">
      <w:pPr>
        <w:pStyle w:val="Default"/>
        <w:jc w:val="both"/>
        <w:rPr>
          <w:rFonts w:ascii="Arial" w:hAnsi="Arial" w:cs="Arial"/>
          <w:b/>
          <w:sz w:val="12"/>
          <w:szCs w:val="12"/>
        </w:rPr>
      </w:pPr>
    </w:p>
    <w:p w14:paraId="13BEC94B" w14:textId="521CCE44" w:rsidR="00E607E2" w:rsidRPr="00B93A6E" w:rsidRDefault="006D54A3" w:rsidP="00DC6C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Principales caractéristiques :</w:t>
      </w:r>
    </w:p>
    <w:p w14:paraId="677E1474" w14:textId="77777777" w:rsidR="001F26FA" w:rsidRDefault="001F26FA" w:rsidP="001F26F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1. Eurofins</w:t>
      </w:r>
    </w:p>
    <w:p w14:paraId="6AE396D5" w14:textId="77777777" w:rsidR="001F26FA" w:rsidRDefault="001F26FA" w:rsidP="001F26F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 xml:space="preserve">Certification Indoor Air </w:t>
      </w:r>
      <w:proofErr w:type="spellStart"/>
      <w:r>
        <w:rPr>
          <w:rFonts w:ascii="Arial" w:hAnsi="Arial"/>
          <w:color w:val="auto"/>
          <w:sz w:val="20"/>
          <w:szCs w:val="20"/>
        </w:rPr>
        <w:t>Comfort</w:t>
      </w:r>
      <w:proofErr w:type="spellEnd"/>
      <w:r>
        <w:rPr>
          <w:rFonts w:ascii="Arial" w:hAnsi="Arial"/>
          <w:color w:val="auto"/>
          <w:sz w:val="20"/>
          <w:szCs w:val="20"/>
        </w:rPr>
        <w:t xml:space="preserve"> Gold</w:t>
      </w:r>
    </w:p>
    <w:p w14:paraId="7D1980AC" w14:textId="77777777" w:rsidR="001F26FA" w:rsidRPr="0046629F" w:rsidRDefault="001F26FA" w:rsidP="00DC6C8F">
      <w:pPr>
        <w:pStyle w:val="Default"/>
        <w:jc w:val="both"/>
        <w:rPr>
          <w:rFonts w:ascii="Arial" w:hAnsi="Arial" w:cs="Arial"/>
          <w:color w:val="auto"/>
          <w:sz w:val="12"/>
          <w:szCs w:val="12"/>
          <w:lang w:val="en-GB"/>
        </w:rPr>
      </w:pPr>
    </w:p>
    <w:p w14:paraId="206D7F3D" w14:textId="4C193F06" w:rsidR="00E607E2" w:rsidRDefault="00B67C53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2. Protection incendie</w:t>
      </w:r>
    </w:p>
    <w:p w14:paraId="411B60F6" w14:textId="059BF917" w:rsidR="00E607E2" w:rsidRDefault="00E607E2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 xml:space="preserve">Feutre à lamelles incombustible, classement de résistance au feu A1 selon la norme EN 13501-1 </w:t>
      </w:r>
      <w:bookmarkStart w:id="0" w:name="_GoBack"/>
      <w:r>
        <w:rPr>
          <w:rFonts w:ascii="Arial" w:hAnsi="Arial"/>
          <w:color w:val="auto"/>
          <w:sz w:val="20"/>
          <w:szCs w:val="20"/>
        </w:rPr>
        <w:t>(A2-s1, d0 pour une épaisseur de 20</w:t>
      </w:r>
      <w:r w:rsidR="00791EDA">
        <w:rPr>
          <w:rFonts w:ascii="Arial" w:hAnsi="Arial"/>
          <w:color w:val="auto"/>
          <w:sz w:val="20"/>
          <w:szCs w:val="20"/>
        </w:rPr>
        <w:t xml:space="preserve"> et 25</w:t>
      </w:r>
      <w:r>
        <w:rPr>
          <w:rFonts w:ascii="Arial" w:hAnsi="Arial"/>
          <w:color w:val="auto"/>
          <w:sz w:val="20"/>
          <w:szCs w:val="20"/>
        </w:rPr>
        <w:t> mm).</w:t>
      </w:r>
      <w:bookmarkEnd w:id="0"/>
    </w:p>
    <w:p w14:paraId="5413C240" w14:textId="77777777" w:rsidR="00EE6367" w:rsidRPr="005726D9" w:rsidRDefault="00EE6367" w:rsidP="00DC6C8F">
      <w:pPr>
        <w:pStyle w:val="Default"/>
        <w:ind w:left="360"/>
        <w:jc w:val="both"/>
        <w:rPr>
          <w:rFonts w:ascii="Arial" w:hAnsi="Arial" w:cs="Arial"/>
          <w:color w:val="auto"/>
          <w:sz w:val="12"/>
          <w:szCs w:val="12"/>
          <w:lang w:val="es-ES"/>
        </w:rPr>
      </w:pPr>
    </w:p>
    <w:p w14:paraId="150FEB18" w14:textId="6EC3C4FC" w:rsidR="00E607E2" w:rsidRDefault="00B67C53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3. Propriétés thermiques</w:t>
      </w:r>
    </w:p>
    <w:p w14:paraId="1EBAA308" w14:textId="7975635E" w:rsidR="00C26912" w:rsidRDefault="00C26912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Valeur λ de conductivité thermique selon la norme EN 12667 :</w:t>
      </w:r>
    </w:p>
    <w:p w14:paraId="2771FC32" w14:textId="23CE47FC" w:rsidR="001F26FA" w:rsidRDefault="001F26FA" w:rsidP="001F26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0,037 W/(</w:t>
      </w:r>
      <w:proofErr w:type="spellStart"/>
      <w:r>
        <w:rPr>
          <w:rFonts w:ascii="Arial" w:hAnsi="Arial"/>
          <w:sz w:val="20"/>
          <w:szCs w:val="20"/>
        </w:rPr>
        <w:t>mK</w:t>
      </w:r>
      <w:proofErr w:type="spellEnd"/>
      <w:r>
        <w:rPr>
          <w:rFonts w:ascii="Arial" w:hAnsi="Arial"/>
          <w:sz w:val="20"/>
          <w:szCs w:val="20"/>
        </w:rPr>
        <w:t>) à 10 °C</w:t>
      </w:r>
    </w:p>
    <w:p w14:paraId="3BAC51E8" w14:textId="7CC46E3B" w:rsidR="00DA1B81" w:rsidRPr="001F26FA" w:rsidRDefault="00DA1B81" w:rsidP="001F26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0,042 W/(</w:t>
      </w:r>
      <w:proofErr w:type="spellStart"/>
      <w:r>
        <w:rPr>
          <w:rFonts w:ascii="Arial" w:hAnsi="Arial"/>
          <w:sz w:val="20"/>
          <w:szCs w:val="20"/>
        </w:rPr>
        <w:t>mK</w:t>
      </w:r>
      <w:proofErr w:type="spellEnd"/>
      <w:r>
        <w:rPr>
          <w:rFonts w:ascii="Arial" w:hAnsi="Arial"/>
          <w:sz w:val="20"/>
          <w:szCs w:val="20"/>
        </w:rPr>
        <w:t>) à 40 °C</w:t>
      </w:r>
    </w:p>
    <w:p w14:paraId="6B9768D2" w14:textId="26C1C1C4" w:rsidR="005E0569" w:rsidRPr="005E0569" w:rsidRDefault="005E0569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0,044 W/(</w:t>
      </w:r>
      <w:proofErr w:type="spellStart"/>
      <w:r>
        <w:rPr>
          <w:rFonts w:ascii="Arial" w:hAnsi="Arial"/>
          <w:sz w:val="20"/>
          <w:szCs w:val="20"/>
        </w:rPr>
        <w:t>mK</w:t>
      </w:r>
      <w:proofErr w:type="spellEnd"/>
      <w:r>
        <w:rPr>
          <w:rFonts w:ascii="Arial" w:hAnsi="Arial"/>
          <w:sz w:val="20"/>
          <w:szCs w:val="20"/>
        </w:rPr>
        <w:t>) à 50 °C</w:t>
      </w:r>
    </w:p>
    <w:p w14:paraId="2A9D2C30" w14:textId="31C72BBA" w:rsidR="005E0569" w:rsidRPr="005E0569" w:rsidRDefault="005E0569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0,056 W/(</w:t>
      </w:r>
      <w:proofErr w:type="spellStart"/>
      <w:r>
        <w:rPr>
          <w:rFonts w:ascii="Arial" w:hAnsi="Arial"/>
          <w:sz w:val="20"/>
          <w:szCs w:val="20"/>
        </w:rPr>
        <w:t>mK</w:t>
      </w:r>
      <w:proofErr w:type="spellEnd"/>
      <w:r>
        <w:rPr>
          <w:rFonts w:ascii="Arial" w:hAnsi="Arial"/>
          <w:sz w:val="20"/>
          <w:szCs w:val="20"/>
        </w:rPr>
        <w:t>) à 100 °C</w:t>
      </w:r>
    </w:p>
    <w:p w14:paraId="6AB4F67E" w14:textId="38DC8D0F" w:rsidR="005E0569" w:rsidRPr="005E0569" w:rsidRDefault="005E0569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0,070 W/(</w:t>
      </w:r>
      <w:proofErr w:type="spellStart"/>
      <w:r>
        <w:rPr>
          <w:rFonts w:ascii="Arial" w:hAnsi="Arial"/>
          <w:sz w:val="20"/>
          <w:szCs w:val="20"/>
        </w:rPr>
        <w:t>mK</w:t>
      </w:r>
      <w:proofErr w:type="spellEnd"/>
      <w:r>
        <w:rPr>
          <w:rFonts w:ascii="Arial" w:hAnsi="Arial"/>
          <w:sz w:val="20"/>
          <w:szCs w:val="20"/>
        </w:rPr>
        <w:t>) à 150 °C</w:t>
      </w:r>
    </w:p>
    <w:p w14:paraId="3B611D6F" w14:textId="5993724B" w:rsidR="005E0569" w:rsidRPr="005E0569" w:rsidRDefault="005E0569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0,088 W/(</w:t>
      </w:r>
      <w:proofErr w:type="spellStart"/>
      <w:r>
        <w:rPr>
          <w:rFonts w:ascii="Arial" w:hAnsi="Arial"/>
          <w:sz w:val="20"/>
          <w:szCs w:val="20"/>
        </w:rPr>
        <w:t>mK</w:t>
      </w:r>
      <w:proofErr w:type="spellEnd"/>
      <w:r>
        <w:rPr>
          <w:rFonts w:ascii="Arial" w:hAnsi="Arial"/>
          <w:sz w:val="20"/>
          <w:szCs w:val="20"/>
        </w:rPr>
        <w:t>) à 200 °C</w:t>
      </w:r>
    </w:p>
    <w:p w14:paraId="17B3071D" w14:textId="489B55D6" w:rsidR="005E0569" w:rsidRDefault="005E0569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0,109 W/(</w:t>
      </w:r>
      <w:proofErr w:type="spellStart"/>
      <w:r>
        <w:rPr>
          <w:rFonts w:ascii="Arial" w:hAnsi="Arial"/>
          <w:sz w:val="20"/>
          <w:szCs w:val="20"/>
        </w:rPr>
        <w:t>mK</w:t>
      </w:r>
      <w:proofErr w:type="spellEnd"/>
      <w:r>
        <w:rPr>
          <w:rFonts w:ascii="Arial" w:hAnsi="Arial"/>
          <w:sz w:val="20"/>
          <w:szCs w:val="20"/>
        </w:rPr>
        <w:t>) à 250 °C</w:t>
      </w:r>
    </w:p>
    <w:p w14:paraId="50D3A68F" w14:textId="0AB663F7" w:rsidR="00C26912" w:rsidRDefault="00C26912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sz w:val="20"/>
          <w:szCs w:val="20"/>
        </w:rPr>
        <w:t>Température maximale d’exploitation : 250 °C minimum, mesurée selon la norme EN 14706.</w:t>
      </w:r>
    </w:p>
    <w:p w14:paraId="62A9AF1D" w14:textId="77777777" w:rsidR="00EE6367" w:rsidRPr="005726D9" w:rsidRDefault="00EE6367" w:rsidP="00DC6C8F">
      <w:pPr>
        <w:pStyle w:val="Default"/>
        <w:ind w:left="360"/>
        <w:jc w:val="both"/>
        <w:rPr>
          <w:rFonts w:ascii="Arial" w:hAnsi="Arial" w:cs="Arial"/>
          <w:color w:val="auto"/>
          <w:sz w:val="12"/>
          <w:szCs w:val="12"/>
        </w:rPr>
      </w:pPr>
    </w:p>
    <w:p w14:paraId="22AFCC58" w14:textId="652F0DF4" w:rsidR="00E607E2" w:rsidRDefault="00B67C53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4. Produits chimiques</w:t>
      </w:r>
    </w:p>
    <w:p w14:paraId="4D3F1985" w14:textId="6E7C6830" w:rsidR="00C26912" w:rsidRDefault="00C26912" w:rsidP="006534B6">
      <w:pPr>
        <w:pStyle w:val="Default"/>
        <w:tabs>
          <w:tab w:val="left" w:pos="6975"/>
        </w:tabs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Qualité AS selon EN 13468 : teneur en chlorures inférieure à 10 ppm.</w:t>
      </w:r>
      <w:r>
        <w:rPr>
          <w:rFonts w:ascii="Arial" w:hAnsi="Arial"/>
          <w:color w:val="auto"/>
          <w:sz w:val="20"/>
          <w:szCs w:val="20"/>
        </w:rPr>
        <w:tab/>
      </w:r>
    </w:p>
    <w:p w14:paraId="5D383A16" w14:textId="7582586F" w:rsidR="001F35C2" w:rsidRPr="005726D9" w:rsidRDefault="001F35C2" w:rsidP="00DC6C8F">
      <w:pPr>
        <w:pStyle w:val="Default"/>
        <w:jc w:val="both"/>
        <w:rPr>
          <w:rFonts w:ascii="Arial" w:hAnsi="Arial" w:cs="Arial"/>
          <w:color w:val="auto"/>
          <w:sz w:val="12"/>
          <w:szCs w:val="12"/>
        </w:rPr>
      </w:pPr>
    </w:p>
    <w:p w14:paraId="36A83955" w14:textId="4DECBF7F" w:rsidR="00E607E2" w:rsidRDefault="003012C4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5. Tolérances dimensionnelles</w:t>
      </w:r>
    </w:p>
    <w:p w14:paraId="6EAC4F63" w14:textId="4F2AF711" w:rsidR="00E607E2" w:rsidRDefault="00E607E2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Classe de tolérances dimensionnelles : T4 selon la norme EN 14303.</w:t>
      </w:r>
    </w:p>
    <w:p w14:paraId="4951CFC0" w14:textId="629BD7FB" w:rsidR="006534B6" w:rsidRPr="005726D9" w:rsidRDefault="006534B6" w:rsidP="00DC6C8F">
      <w:pPr>
        <w:pStyle w:val="Default"/>
        <w:jc w:val="both"/>
        <w:rPr>
          <w:rFonts w:ascii="Arial" w:hAnsi="Arial" w:cs="Arial"/>
          <w:color w:val="auto"/>
          <w:sz w:val="12"/>
          <w:szCs w:val="12"/>
          <w:lang w:val="es-ES"/>
        </w:rPr>
      </w:pPr>
    </w:p>
    <w:p w14:paraId="0FB9B338" w14:textId="49F3BD2C" w:rsidR="006534B6" w:rsidRDefault="003012C4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6. Autres certifications</w:t>
      </w:r>
    </w:p>
    <w:p w14:paraId="6E6D6558" w14:textId="77777777" w:rsidR="00384CD7" w:rsidRDefault="00384CD7" w:rsidP="00384CD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Certification RAL ; Classification M1.</w:t>
      </w:r>
    </w:p>
    <w:p w14:paraId="51C17E0E" w14:textId="77777777" w:rsidR="001F35C2" w:rsidRPr="0046629F" w:rsidRDefault="001F35C2" w:rsidP="00DC6C8F">
      <w:pPr>
        <w:pStyle w:val="Default"/>
        <w:jc w:val="both"/>
        <w:rPr>
          <w:rFonts w:ascii="Arial" w:hAnsi="Arial" w:cs="Arial"/>
          <w:color w:val="auto"/>
          <w:sz w:val="12"/>
          <w:szCs w:val="12"/>
          <w:lang w:val="en-GB"/>
        </w:rPr>
      </w:pPr>
    </w:p>
    <w:p w14:paraId="20C51D10" w14:textId="4A3A57E3" w:rsidR="00C26912" w:rsidRDefault="003012C4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7. Autres critères</w:t>
      </w:r>
    </w:p>
    <w:p w14:paraId="2F003B84" w14:textId="77777777" w:rsidR="00DC47D5" w:rsidRDefault="00913118" w:rsidP="00913118">
      <w:pPr>
        <w:pStyle w:val="Default"/>
        <w:jc w:val="both"/>
        <w:rPr>
          <w:rFonts w:ascii="Arial" w:hAnsi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Épaisseur de la couche d’air équivalente à la diffusion de vapeur d’eau selon</w:t>
      </w:r>
    </w:p>
    <w:p w14:paraId="0DCC6DB2" w14:textId="36F80798" w:rsidR="00913118" w:rsidRDefault="00913118" w:rsidP="00913118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la norme EN 12086 :</w:t>
      </w:r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16"/>
          <w:szCs w:val="16"/>
        </w:rPr>
        <w:t>d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r w:rsidR="00DC47D5">
        <w:rPr>
          <w:rFonts w:ascii="Arial" w:hAnsi="Arial"/>
          <w:color w:val="auto"/>
          <w:sz w:val="20"/>
          <w:szCs w:val="20"/>
        </w:rPr>
        <w:t>≥ 2</w:t>
      </w:r>
      <w:r>
        <w:rPr>
          <w:rFonts w:ascii="Arial" w:hAnsi="Arial"/>
          <w:sz w:val="20"/>
          <w:szCs w:val="20"/>
        </w:rPr>
        <w:t>00 m</w:t>
      </w:r>
      <w:r>
        <w:rPr>
          <w:rFonts w:ascii="Arial" w:hAnsi="Arial"/>
          <w:color w:val="auto"/>
          <w:sz w:val="20"/>
          <w:szCs w:val="20"/>
        </w:rPr>
        <w:t>.</w:t>
      </w:r>
    </w:p>
    <w:p w14:paraId="4A33BEDB" w14:textId="6FB6FF0E" w:rsidR="00D232AE" w:rsidRDefault="00D232AE" w:rsidP="00D232A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Absorption de l’eau selon la norme EN 1609 : 1 kg/m² maximum.</w:t>
      </w:r>
    </w:p>
    <w:p w14:paraId="3E2DB106" w14:textId="77777777" w:rsidR="00D232AE" w:rsidRDefault="00D232AE" w:rsidP="00D232A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Point de fusion des fibres selon la norme DIN 4102-17 : ≥ 1000 °C.</w:t>
      </w:r>
    </w:p>
    <w:p w14:paraId="045D8C28" w14:textId="77777777" w:rsidR="00C26912" w:rsidRPr="005726D9" w:rsidRDefault="00C26912" w:rsidP="00DC6C8F">
      <w:pPr>
        <w:pStyle w:val="Default"/>
        <w:ind w:left="720"/>
        <w:jc w:val="both"/>
        <w:rPr>
          <w:rFonts w:ascii="Arial" w:hAnsi="Arial" w:cs="Arial"/>
          <w:color w:val="auto"/>
          <w:sz w:val="12"/>
          <w:szCs w:val="12"/>
          <w:lang w:val="es-ES"/>
        </w:rPr>
      </w:pPr>
    </w:p>
    <w:p w14:paraId="13D687A4" w14:textId="77777777" w:rsidR="0080327F" w:rsidRPr="0080327F" w:rsidRDefault="0080327F" w:rsidP="00DC6C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Code d’identification EN :</w:t>
      </w:r>
    </w:p>
    <w:p w14:paraId="303E5DBD" w14:textId="348EBE2B" w:rsidR="0080327F" w:rsidRPr="00446313" w:rsidRDefault="009B7915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MW-EN14303-T4-</w:t>
      </w:r>
      <w:proofErr w:type="gramStart"/>
      <w:r>
        <w:rPr>
          <w:rFonts w:ascii="Arial" w:hAnsi="Arial"/>
          <w:sz w:val="20"/>
          <w:szCs w:val="20"/>
        </w:rPr>
        <w:t>ST(</w:t>
      </w:r>
      <w:proofErr w:type="gramEnd"/>
      <w:r>
        <w:rPr>
          <w:rFonts w:ascii="Arial" w:hAnsi="Arial"/>
          <w:sz w:val="20"/>
          <w:szCs w:val="20"/>
        </w:rPr>
        <w:t>+)250-WS1-MV</w:t>
      </w:r>
      <w:r w:rsidR="00DC47D5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-CL10</w:t>
      </w:r>
    </w:p>
    <w:p w14:paraId="639EF067" w14:textId="77777777" w:rsidR="0080327F" w:rsidRPr="005726D9" w:rsidRDefault="0080327F" w:rsidP="00DC6C8F">
      <w:pPr>
        <w:jc w:val="both"/>
        <w:rPr>
          <w:rFonts w:ascii="Arial" w:hAnsi="Arial" w:cs="Arial"/>
          <w:sz w:val="12"/>
          <w:szCs w:val="12"/>
          <w:lang w:val="es-ES"/>
        </w:rPr>
      </w:pPr>
    </w:p>
    <w:p w14:paraId="637989F7" w14:textId="77777777" w:rsidR="00E607E2" w:rsidRPr="00B93A6E" w:rsidRDefault="00E607E2" w:rsidP="00DC6C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Dimensions standard :</w:t>
      </w:r>
    </w:p>
    <w:p w14:paraId="3EA27571" w14:textId="545F22C6" w:rsidR="00625C10" w:rsidRPr="00D232AE" w:rsidRDefault="002B6326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Longueur du feutre à lamelles : de 2500 à 10000 mm, en fonction de l’épaisseur.</w:t>
      </w:r>
    </w:p>
    <w:p w14:paraId="6B2D6965" w14:textId="015B8FC9" w:rsidR="00EA68FD" w:rsidRPr="00D232AE" w:rsidRDefault="002B6326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Largeur du feutre à lamelles : 500 ou 1000 </w:t>
      </w:r>
      <w:proofErr w:type="spellStart"/>
      <w:r>
        <w:rPr>
          <w:rFonts w:ascii="Arial" w:hAnsi="Arial"/>
          <w:sz w:val="20"/>
          <w:szCs w:val="20"/>
        </w:rPr>
        <w:t>mm.</w:t>
      </w:r>
      <w:proofErr w:type="spellEnd"/>
    </w:p>
    <w:p w14:paraId="3E06FFDA" w14:textId="070CB970" w:rsidR="0030485E" w:rsidRPr="001F35C2" w:rsidRDefault="002B6326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Épaisseur du feutre à lamelles : 20, 30, 40, 50, 60, 80, 100, 120, 140 </w:t>
      </w:r>
      <w:proofErr w:type="spellStart"/>
      <w:r>
        <w:rPr>
          <w:rFonts w:ascii="Arial" w:hAnsi="Arial"/>
          <w:sz w:val="20"/>
          <w:szCs w:val="20"/>
        </w:rPr>
        <w:t>mm.</w:t>
      </w:r>
      <w:proofErr w:type="spellEnd"/>
    </w:p>
    <w:sectPr w:rsidR="0030485E" w:rsidRPr="001F35C2" w:rsidSect="0065437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C21E9"/>
    <w:multiLevelType w:val="hybridMultilevel"/>
    <w:tmpl w:val="9EDA8A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E7F94"/>
    <w:multiLevelType w:val="hybridMultilevel"/>
    <w:tmpl w:val="5E2A0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44CD6"/>
    <w:multiLevelType w:val="hybridMultilevel"/>
    <w:tmpl w:val="16949706"/>
    <w:lvl w:ilvl="0" w:tplc="948C660A">
      <w:start w:val="410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D00819"/>
    <w:multiLevelType w:val="hybridMultilevel"/>
    <w:tmpl w:val="336E5DB8"/>
    <w:lvl w:ilvl="0" w:tplc="D81A164E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6E"/>
    <w:rsid w:val="00002600"/>
    <w:rsid w:val="001337A9"/>
    <w:rsid w:val="00146A35"/>
    <w:rsid w:val="001F26FA"/>
    <w:rsid w:val="001F35C2"/>
    <w:rsid w:val="00201BCA"/>
    <w:rsid w:val="00233D5F"/>
    <w:rsid w:val="002B6326"/>
    <w:rsid w:val="003012C4"/>
    <w:rsid w:val="0030485E"/>
    <w:rsid w:val="003276BC"/>
    <w:rsid w:val="00342E01"/>
    <w:rsid w:val="00350131"/>
    <w:rsid w:val="00384CD7"/>
    <w:rsid w:val="003A57E2"/>
    <w:rsid w:val="003E6A76"/>
    <w:rsid w:val="003E734E"/>
    <w:rsid w:val="00446313"/>
    <w:rsid w:val="00447498"/>
    <w:rsid w:val="0046629F"/>
    <w:rsid w:val="004F5293"/>
    <w:rsid w:val="00512ECD"/>
    <w:rsid w:val="005134B4"/>
    <w:rsid w:val="005726D9"/>
    <w:rsid w:val="005B3BFD"/>
    <w:rsid w:val="005E0569"/>
    <w:rsid w:val="00625C10"/>
    <w:rsid w:val="006534B6"/>
    <w:rsid w:val="0065437C"/>
    <w:rsid w:val="006812B3"/>
    <w:rsid w:val="006934DE"/>
    <w:rsid w:val="006D54A3"/>
    <w:rsid w:val="006E01F9"/>
    <w:rsid w:val="00735F12"/>
    <w:rsid w:val="00791EDA"/>
    <w:rsid w:val="0080327F"/>
    <w:rsid w:val="00831E05"/>
    <w:rsid w:val="00882E60"/>
    <w:rsid w:val="00896FBC"/>
    <w:rsid w:val="008F57B0"/>
    <w:rsid w:val="00904367"/>
    <w:rsid w:val="00913118"/>
    <w:rsid w:val="009928D2"/>
    <w:rsid w:val="00994178"/>
    <w:rsid w:val="009B099A"/>
    <w:rsid w:val="009B7915"/>
    <w:rsid w:val="009C6A65"/>
    <w:rsid w:val="00A17367"/>
    <w:rsid w:val="00A427D0"/>
    <w:rsid w:val="00A42CB9"/>
    <w:rsid w:val="00A767AE"/>
    <w:rsid w:val="00AF40ED"/>
    <w:rsid w:val="00B31A99"/>
    <w:rsid w:val="00B67C53"/>
    <w:rsid w:val="00B936C1"/>
    <w:rsid w:val="00B93A6E"/>
    <w:rsid w:val="00BC3155"/>
    <w:rsid w:val="00C26912"/>
    <w:rsid w:val="00C758AE"/>
    <w:rsid w:val="00C7651D"/>
    <w:rsid w:val="00CA3E72"/>
    <w:rsid w:val="00CB76F0"/>
    <w:rsid w:val="00CC3E36"/>
    <w:rsid w:val="00CF6D4E"/>
    <w:rsid w:val="00D025DC"/>
    <w:rsid w:val="00D066FA"/>
    <w:rsid w:val="00D232AE"/>
    <w:rsid w:val="00D447AC"/>
    <w:rsid w:val="00D54CBE"/>
    <w:rsid w:val="00DA1B81"/>
    <w:rsid w:val="00DC2481"/>
    <w:rsid w:val="00DC47D5"/>
    <w:rsid w:val="00DC5AD1"/>
    <w:rsid w:val="00DC6C8F"/>
    <w:rsid w:val="00E607E2"/>
    <w:rsid w:val="00EA68FD"/>
    <w:rsid w:val="00EB6253"/>
    <w:rsid w:val="00EE6367"/>
    <w:rsid w:val="00F4765F"/>
    <w:rsid w:val="00F8018E"/>
    <w:rsid w:val="00FA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6B483"/>
  <w15:docId w15:val="{34F225C5-7658-49F2-A425-19CDF2FE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93A6E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904367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04367"/>
    <w:rPr>
      <w:rFonts w:ascii="Tahoma" w:hAnsi="Tahoma" w:cs="Tahoma"/>
      <w:sz w:val="16"/>
      <w:szCs w:val="16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0436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93A6E"/>
    <w:pPr>
      <w:autoSpaceDE w:val="0"/>
      <w:autoSpaceDN w:val="0"/>
      <w:adjustRightInd w:val="0"/>
      <w:spacing w:after="0" w:line="240" w:lineRule="auto"/>
    </w:pPr>
    <w:rPr>
      <w:rFonts w:ascii="Futura Std" w:hAnsi="Futura Std" w:cs="Futura Std"/>
      <w:color w:val="000000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E607E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607E2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607E2"/>
    <w:rPr>
      <w:rFonts w:ascii="Calibri" w:hAnsi="Calibri" w:cs="Calibri"/>
      <w:sz w:val="20"/>
      <w:szCs w:val="20"/>
      <w:lang w:val="fr-FR" w:eastAsia="it-IT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607E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607E2"/>
    <w:rPr>
      <w:rFonts w:ascii="Calibri" w:hAnsi="Calibri" w:cs="Calibri"/>
      <w:b/>
      <w:bCs/>
      <w:sz w:val="20"/>
      <w:szCs w:val="20"/>
      <w:lang w:val="fr-FR" w:eastAsia="it-IT"/>
    </w:rPr>
  </w:style>
  <w:style w:type="paragraph" w:styleId="Odstavekseznama">
    <w:name w:val="List Paragraph"/>
    <w:basedOn w:val="Navaden"/>
    <w:uiPriority w:val="34"/>
    <w:qFormat/>
    <w:rsid w:val="00EE6367"/>
    <w:pPr>
      <w:ind w:left="720"/>
      <w:contextualSpacing/>
    </w:pPr>
  </w:style>
  <w:style w:type="table" w:styleId="Tabelamrea">
    <w:name w:val="Table Grid"/>
    <w:basedOn w:val="Navadnatabela"/>
    <w:uiPriority w:val="59"/>
    <w:rsid w:val="00EE6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C269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E1D1B-1E04-4B3E-868F-076E47A42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Knauf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Raggi</dc:creator>
  <cp:lastModifiedBy>Tavcar Cernjak, Natasa</cp:lastModifiedBy>
  <cp:revision>74</cp:revision>
  <dcterms:created xsi:type="dcterms:W3CDTF">2018-01-05T15:05:00Z</dcterms:created>
  <dcterms:modified xsi:type="dcterms:W3CDTF">2021-12-14T18:28:00Z</dcterms:modified>
</cp:coreProperties>
</file>